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900"/>
        <w:tblW w:w="9764" w:type="dxa"/>
        <w:tblCellMar>
          <w:top w:w="72" w:type="dxa"/>
          <w:bottom w:w="72" w:type="dxa"/>
        </w:tblCellMar>
        <w:tblLook w:val="04A0" w:firstRow="1" w:lastRow="0" w:firstColumn="1" w:lastColumn="0" w:noHBand="0" w:noVBand="1"/>
      </w:tblPr>
      <w:tblGrid>
        <w:gridCol w:w="3825"/>
        <w:gridCol w:w="3116"/>
        <w:gridCol w:w="2823"/>
      </w:tblGrid>
      <w:tr w:rsidR="0067773A" w:rsidRPr="001E14D3" w14:paraId="200A81C2" w14:textId="77777777" w:rsidTr="0096374D">
        <w:trPr>
          <w:trHeight w:val="401"/>
        </w:trPr>
        <w:tc>
          <w:tcPr>
            <w:tcW w:w="3825" w:type="dxa"/>
            <w:vMerge w:val="restart"/>
          </w:tcPr>
          <w:p w14:paraId="1AF01060" w14:textId="4EDC87B9" w:rsidR="0067773A" w:rsidRPr="001E14D3" w:rsidRDefault="004E2C64" w:rsidP="004E2C64">
            <w:pPr>
              <w:pStyle w:val="NoSpacing"/>
              <w:jc w:val="center"/>
              <w:rPr>
                <w:rFonts w:ascii="Arial" w:hAnsi="Arial" w:cs="Arial"/>
              </w:rPr>
            </w:pPr>
            <w:r w:rsidRPr="000831C3">
              <w:rPr>
                <w:rFonts w:ascii="Arial" w:hAnsi="Arial" w:cs="Arial"/>
                <w:noProof/>
                <w:sz w:val="18"/>
                <w:szCs w:val="18"/>
              </w:rPr>
              <w:drawing>
                <wp:anchor distT="0" distB="0" distL="114300" distR="114300" simplePos="0" relativeHeight="251661312" behindDoc="1" locked="0" layoutInCell="1" allowOverlap="1" wp14:anchorId="09038A60" wp14:editId="4EFB89DD">
                  <wp:simplePos x="0" y="0"/>
                  <wp:positionH relativeFrom="column">
                    <wp:posOffset>10853</wp:posOffset>
                  </wp:positionH>
                  <wp:positionV relativeFrom="paragraph">
                    <wp:posOffset>110952</wp:posOffset>
                  </wp:positionV>
                  <wp:extent cx="2216150" cy="909955"/>
                  <wp:effectExtent l="0" t="0" r="0" b="4445"/>
                  <wp:wrapTight wrapText="bothSides">
                    <wp:wrapPolygon edited="0">
                      <wp:start x="0" y="0"/>
                      <wp:lineTo x="0" y="21253"/>
                      <wp:lineTo x="21352" y="21253"/>
                      <wp:lineTo x="21352" y="0"/>
                      <wp:lineTo x="0" y="0"/>
                    </wp:wrapPolygon>
                  </wp:wrapTight>
                  <wp:docPr id="1747824194" name="Picture 1" descr="A logo for a health found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24194" name="Picture 1" descr="A logo for a health found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16150" cy="909955"/>
                          </a:xfrm>
                          <a:prstGeom prst="rect">
                            <a:avLst/>
                          </a:prstGeom>
                        </pic:spPr>
                      </pic:pic>
                    </a:graphicData>
                  </a:graphic>
                  <wp14:sizeRelH relativeFrom="margin">
                    <wp14:pctWidth>0</wp14:pctWidth>
                  </wp14:sizeRelH>
                  <wp14:sizeRelV relativeFrom="margin">
                    <wp14:pctHeight>0</wp14:pctHeight>
                  </wp14:sizeRelV>
                </wp:anchor>
              </w:drawing>
            </w:r>
            <w:r w:rsidR="0067773A" w:rsidRPr="000831C3">
              <w:rPr>
                <w:rFonts w:ascii="Arial" w:hAnsi="Arial" w:cs="Arial"/>
                <w:b/>
                <w:bCs/>
                <w:sz w:val="28"/>
                <w:szCs w:val="18"/>
              </w:rPr>
              <w:t>POLICY</w:t>
            </w:r>
            <w:r w:rsidR="000831C3" w:rsidRPr="000831C3">
              <w:rPr>
                <w:rFonts w:ascii="Arial" w:hAnsi="Arial" w:cs="Arial"/>
                <w:b/>
                <w:bCs/>
                <w:sz w:val="28"/>
                <w:szCs w:val="18"/>
              </w:rPr>
              <w:t xml:space="preserve"> &amp; PROCEDURE</w:t>
            </w:r>
          </w:p>
        </w:tc>
        <w:tc>
          <w:tcPr>
            <w:tcW w:w="3116" w:type="dxa"/>
          </w:tcPr>
          <w:p w14:paraId="06B0F351" w14:textId="77777777" w:rsidR="0067773A" w:rsidRPr="001E14D3" w:rsidRDefault="006777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sz w:val="20"/>
                <w:szCs w:val="20"/>
              </w:rPr>
            </w:pPr>
            <w:r w:rsidRPr="001E14D3">
              <w:rPr>
                <w:rFonts w:ascii="Arial" w:hAnsi="Arial" w:cs="Arial"/>
                <w:sz w:val="20"/>
                <w:szCs w:val="20"/>
              </w:rPr>
              <w:t>Department:</w:t>
            </w:r>
          </w:p>
          <w:p w14:paraId="6D7E0661" w14:textId="473B06EE" w:rsidR="0067773A" w:rsidRDefault="00164A46"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rPr>
            </w:pPr>
            <w:r>
              <w:rPr>
                <w:rFonts w:ascii="Arial" w:hAnsi="Arial" w:cs="Arial"/>
                <w:b/>
                <w:bCs/>
                <w:sz w:val="20"/>
                <w:szCs w:val="20"/>
              </w:rPr>
              <w:t>Human Resources</w:t>
            </w:r>
          </w:p>
          <w:p w14:paraId="4D7325FE" w14:textId="05CF3BF1" w:rsidR="0067773A" w:rsidRPr="001E14D3" w:rsidRDefault="006777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rPr>
            </w:pPr>
          </w:p>
        </w:tc>
        <w:tc>
          <w:tcPr>
            <w:tcW w:w="2823" w:type="dxa"/>
          </w:tcPr>
          <w:p w14:paraId="55856A9F" w14:textId="77777777" w:rsidR="0067773A" w:rsidRDefault="006777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sz w:val="20"/>
                <w:szCs w:val="20"/>
              </w:rPr>
            </w:pPr>
            <w:r w:rsidRPr="001E14D3">
              <w:rPr>
                <w:rFonts w:ascii="Arial" w:hAnsi="Arial" w:cs="Arial"/>
                <w:sz w:val="20"/>
                <w:szCs w:val="20"/>
              </w:rPr>
              <w:t>Approved by:</w:t>
            </w:r>
          </w:p>
          <w:p w14:paraId="1623603E" w14:textId="06281808" w:rsidR="002173F8" w:rsidRPr="001F627B" w:rsidRDefault="002173F8"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rPr>
            </w:pPr>
            <w:r w:rsidRPr="001F627B">
              <w:rPr>
                <w:rFonts w:ascii="Arial" w:hAnsi="Arial" w:cs="Arial"/>
                <w:b/>
                <w:bCs/>
                <w:sz w:val="20"/>
                <w:szCs w:val="20"/>
              </w:rPr>
              <w:t>Executive Director</w:t>
            </w:r>
          </w:p>
          <w:p w14:paraId="7A583E6F" w14:textId="77777777" w:rsidR="0067773A" w:rsidRPr="001E14D3" w:rsidRDefault="006777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rPr>
            </w:pPr>
          </w:p>
        </w:tc>
      </w:tr>
      <w:tr w:rsidR="0067773A" w:rsidRPr="001E14D3" w14:paraId="19D47F3E" w14:textId="77777777" w:rsidTr="0067773A">
        <w:trPr>
          <w:trHeight w:val="401"/>
        </w:trPr>
        <w:tc>
          <w:tcPr>
            <w:tcW w:w="3825" w:type="dxa"/>
            <w:vMerge/>
          </w:tcPr>
          <w:p w14:paraId="5CC0BE1E" w14:textId="77777777" w:rsidR="0067773A" w:rsidRPr="001E14D3" w:rsidRDefault="0067773A" w:rsidP="00DD5812">
            <w:pPr>
              <w:pStyle w:val="NoSpacing"/>
              <w:jc w:val="center"/>
              <w:rPr>
                <w:rFonts w:ascii="Arial" w:hAnsi="Arial" w:cs="Arial"/>
              </w:rPr>
            </w:pPr>
          </w:p>
        </w:tc>
        <w:tc>
          <w:tcPr>
            <w:tcW w:w="5939" w:type="dxa"/>
            <w:gridSpan w:val="2"/>
          </w:tcPr>
          <w:p w14:paraId="116F71C1" w14:textId="77777777" w:rsidR="0067773A" w:rsidRDefault="0067773A" w:rsidP="0067773A">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sz w:val="20"/>
                <w:szCs w:val="20"/>
              </w:rPr>
            </w:pPr>
          </w:p>
          <w:p w14:paraId="2F76C741" w14:textId="77777777" w:rsidR="0067773A" w:rsidRDefault="0067773A" w:rsidP="000831C3">
            <w:pPr>
              <w:pStyle w:val="1Paragraph"/>
              <w:tabs>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lang w:val="en-US"/>
              </w:rPr>
            </w:pPr>
            <w:r w:rsidRPr="001E14D3">
              <w:rPr>
                <w:rFonts w:ascii="Arial" w:hAnsi="Arial" w:cs="Arial"/>
                <w:sz w:val="20"/>
                <w:szCs w:val="20"/>
              </w:rPr>
              <w:t xml:space="preserve">Title: </w:t>
            </w:r>
            <w:r w:rsidR="00100A9B" w:rsidRPr="000456F9">
              <w:rPr>
                <w:rFonts w:ascii="Arial" w:hAnsi="Arial" w:cs="Arial"/>
                <w:b/>
                <w:bCs/>
                <w:sz w:val="20"/>
                <w:szCs w:val="20"/>
                <w:lang w:val="en-US"/>
              </w:rPr>
              <w:t>A</w:t>
            </w:r>
            <w:r w:rsidR="000456F9" w:rsidRPr="00100A9B">
              <w:rPr>
                <w:rFonts w:ascii="Arial" w:hAnsi="Arial" w:cs="Arial"/>
                <w:b/>
                <w:bCs/>
                <w:sz w:val="20"/>
                <w:szCs w:val="20"/>
                <w:lang w:val="en-US"/>
              </w:rPr>
              <w:t>ccessible</w:t>
            </w:r>
            <w:r w:rsidR="00100A9B" w:rsidRPr="00100A9B">
              <w:rPr>
                <w:rFonts w:ascii="Arial" w:hAnsi="Arial" w:cs="Arial"/>
                <w:b/>
                <w:bCs/>
                <w:sz w:val="20"/>
                <w:szCs w:val="20"/>
                <w:lang w:val="en-US"/>
              </w:rPr>
              <w:t xml:space="preserve"> </w:t>
            </w:r>
            <w:r w:rsidR="00100A9B">
              <w:rPr>
                <w:rFonts w:ascii="Arial" w:hAnsi="Arial" w:cs="Arial"/>
                <w:b/>
                <w:bCs/>
                <w:sz w:val="20"/>
                <w:szCs w:val="20"/>
                <w:lang w:val="en-US"/>
              </w:rPr>
              <w:t>E</w:t>
            </w:r>
            <w:r w:rsidR="00100A9B" w:rsidRPr="00100A9B">
              <w:rPr>
                <w:rFonts w:ascii="Arial" w:hAnsi="Arial" w:cs="Arial"/>
                <w:b/>
                <w:bCs/>
                <w:sz w:val="20"/>
                <w:szCs w:val="20"/>
                <w:lang w:val="en-US"/>
              </w:rPr>
              <w:t xml:space="preserve">mployment </w:t>
            </w:r>
          </w:p>
          <w:p w14:paraId="65A58462" w14:textId="0F2FF723" w:rsidR="000831C3" w:rsidRPr="000831C3" w:rsidRDefault="000831C3" w:rsidP="000831C3">
            <w:pPr>
              <w:pStyle w:val="1Paragraph"/>
              <w:tabs>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lang w:val="en-US"/>
              </w:rPr>
            </w:pPr>
          </w:p>
        </w:tc>
      </w:tr>
      <w:tr w:rsidR="0067773A" w:rsidRPr="001E14D3" w14:paraId="07396CE2" w14:textId="77777777" w:rsidTr="000831C3">
        <w:trPr>
          <w:trHeight w:val="539"/>
        </w:trPr>
        <w:tc>
          <w:tcPr>
            <w:tcW w:w="3825" w:type="dxa"/>
            <w:vMerge/>
          </w:tcPr>
          <w:p w14:paraId="0C8F2901" w14:textId="77777777" w:rsidR="0067773A" w:rsidRPr="001E14D3" w:rsidRDefault="0067773A" w:rsidP="00DD5812">
            <w:pPr>
              <w:pStyle w:val="NoSpacing"/>
              <w:rPr>
                <w:rFonts w:ascii="Arial" w:hAnsi="Arial" w:cs="Arial"/>
              </w:rPr>
            </w:pPr>
          </w:p>
        </w:tc>
        <w:tc>
          <w:tcPr>
            <w:tcW w:w="3116" w:type="dxa"/>
          </w:tcPr>
          <w:p w14:paraId="25060C97" w14:textId="77777777" w:rsidR="0067773A" w:rsidRDefault="005C4F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sz w:val="20"/>
                <w:szCs w:val="20"/>
              </w:rPr>
            </w:pPr>
            <w:r>
              <w:rPr>
                <w:rFonts w:ascii="Arial" w:hAnsi="Arial" w:cs="Arial"/>
                <w:sz w:val="20"/>
                <w:szCs w:val="20"/>
              </w:rPr>
              <w:t>Review Date</w:t>
            </w:r>
            <w:r w:rsidR="0067773A" w:rsidRPr="001E14D3">
              <w:rPr>
                <w:rFonts w:ascii="Arial" w:hAnsi="Arial" w:cs="Arial"/>
                <w:sz w:val="20"/>
                <w:szCs w:val="20"/>
              </w:rPr>
              <w:t>:</w:t>
            </w:r>
          </w:p>
          <w:p w14:paraId="6B24D637" w14:textId="40E19027" w:rsidR="001F627B" w:rsidRPr="000831C3" w:rsidRDefault="000831C3"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lang w:val="en-US"/>
              </w:rPr>
            </w:pPr>
            <w:r w:rsidRPr="000831C3">
              <w:rPr>
                <w:rFonts w:ascii="Arial" w:hAnsi="Arial" w:cs="Arial"/>
                <w:b/>
                <w:bCs/>
                <w:sz w:val="20"/>
                <w:szCs w:val="20"/>
                <w:lang w:val="en-US"/>
              </w:rPr>
              <w:t>January 2026</w:t>
            </w:r>
          </w:p>
        </w:tc>
        <w:tc>
          <w:tcPr>
            <w:tcW w:w="2823" w:type="dxa"/>
          </w:tcPr>
          <w:p w14:paraId="13C84F2E" w14:textId="77777777" w:rsidR="0067773A" w:rsidRDefault="0067773A" w:rsidP="00DD5812">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sz w:val="20"/>
                <w:szCs w:val="20"/>
              </w:rPr>
            </w:pPr>
            <w:r w:rsidRPr="001E14D3">
              <w:rPr>
                <w:rFonts w:ascii="Arial" w:hAnsi="Arial" w:cs="Arial"/>
                <w:sz w:val="20"/>
                <w:szCs w:val="20"/>
              </w:rPr>
              <w:t>Revised Date:</w:t>
            </w:r>
          </w:p>
          <w:p w14:paraId="7F3AE76D" w14:textId="5D4B5DB5" w:rsidR="001F627B" w:rsidRPr="000831C3" w:rsidRDefault="000831C3" w:rsidP="000831C3">
            <w:pPr>
              <w:pStyle w:val="1Paragraph"/>
              <w:tabs>
                <w:tab w:val="clear" w:pos="720"/>
                <w:tab w:val="left" w:pos="-720"/>
                <w:tab w:val="left" w:pos="-36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ind w:left="0" w:firstLine="0"/>
              <w:rPr>
                <w:rFonts w:ascii="Arial" w:hAnsi="Arial" w:cs="Arial"/>
                <w:b/>
                <w:bCs/>
                <w:sz w:val="20"/>
                <w:szCs w:val="20"/>
                <w:lang w:val="en-US"/>
              </w:rPr>
            </w:pPr>
            <w:r>
              <w:rPr>
                <w:rFonts w:ascii="Arial" w:hAnsi="Arial" w:cs="Arial"/>
                <w:b/>
                <w:bCs/>
                <w:sz w:val="20"/>
                <w:szCs w:val="20"/>
                <w:lang w:val="en-US"/>
              </w:rPr>
              <w:t xml:space="preserve">February </w:t>
            </w:r>
            <w:r w:rsidRPr="000831C3">
              <w:rPr>
                <w:rFonts w:ascii="Arial" w:hAnsi="Arial" w:cs="Arial"/>
                <w:b/>
                <w:bCs/>
                <w:sz w:val="20"/>
                <w:szCs w:val="20"/>
                <w:lang w:val="en-US"/>
              </w:rPr>
              <w:t>2026</w:t>
            </w:r>
          </w:p>
        </w:tc>
      </w:tr>
    </w:tbl>
    <w:p w14:paraId="4112CC01" w14:textId="77777777" w:rsidR="001E14D3" w:rsidRPr="001E14D3" w:rsidRDefault="001E14D3" w:rsidP="001E14D3">
      <w:pPr>
        <w:pStyle w:val="NormalWeb"/>
        <w:shd w:val="clear" w:color="auto" w:fill="FFFFFF"/>
        <w:jc w:val="center"/>
        <w:rPr>
          <w:rFonts w:ascii="Arial" w:hAnsi="Arial" w:cs="Arial"/>
          <w:b/>
          <w:bCs/>
          <w:i/>
          <w:iCs/>
          <w:lang w:val="en-GB"/>
        </w:rPr>
      </w:pPr>
    </w:p>
    <w:p w14:paraId="0E582689" w14:textId="77777777" w:rsidR="001E14D3" w:rsidRPr="001E14D3" w:rsidRDefault="001E14D3" w:rsidP="001E14D3">
      <w:pPr>
        <w:pStyle w:val="NormalWeb"/>
        <w:shd w:val="clear" w:color="auto" w:fill="FFFFFF"/>
        <w:jc w:val="center"/>
        <w:rPr>
          <w:rFonts w:ascii="Arial" w:hAnsi="Arial" w:cs="Arial"/>
          <w:b/>
          <w:bCs/>
          <w:i/>
          <w:iCs/>
        </w:rPr>
      </w:pPr>
      <w:r w:rsidRPr="001E14D3">
        <w:rPr>
          <w:rFonts w:ascii="Arial" w:hAnsi="Arial" w:cs="Arial"/>
          <w:b/>
          <w:bCs/>
          <w:i/>
          <w:iCs/>
          <w:lang w:val="en-GB"/>
        </w:rPr>
        <w:t>Behavioural Health Foundation</w:t>
      </w:r>
    </w:p>
    <w:p w14:paraId="66CAFBAE" w14:textId="77777777" w:rsidR="001E14D3" w:rsidRPr="001E14D3" w:rsidRDefault="001E14D3" w:rsidP="001E14D3">
      <w:pPr>
        <w:pStyle w:val="NoSpacing"/>
        <w:rPr>
          <w:rFonts w:ascii="Arial" w:hAnsi="Arial" w:cs="Arial"/>
          <w:sz w:val="16"/>
          <w:szCs w:val="16"/>
        </w:rPr>
      </w:pPr>
      <w:r w:rsidRPr="001E14D3">
        <w:rPr>
          <w:rFonts w:ascii="Arial" w:hAnsi="Arial" w:cs="Arial"/>
          <w:sz w:val="16"/>
          <w:szCs w:val="16"/>
        </w:rPr>
        <w:t>_________________________________________________________________________________________________________</w:t>
      </w:r>
    </w:p>
    <w:p w14:paraId="14263EF8" w14:textId="77777777" w:rsidR="001E14D3" w:rsidRPr="001E14D3" w:rsidRDefault="001E14D3" w:rsidP="001E14D3">
      <w:pPr>
        <w:pStyle w:val="NoSpacing"/>
        <w:rPr>
          <w:rFonts w:ascii="Arial" w:hAnsi="Arial" w:cs="Arial"/>
          <w:sz w:val="16"/>
          <w:szCs w:val="16"/>
        </w:rPr>
      </w:pPr>
    </w:p>
    <w:p w14:paraId="43C4A929" w14:textId="633D3143" w:rsidR="00C368EE" w:rsidRPr="0096374D" w:rsidRDefault="00C368EE" w:rsidP="00C368EE">
      <w:pPr>
        <w:rPr>
          <w:rFonts w:ascii="Arial" w:hAnsi="Arial" w:cs="Arial"/>
          <w:b/>
          <w:bCs/>
        </w:rPr>
      </w:pPr>
      <w:r w:rsidRPr="0096374D">
        <w:rPr>
          <w:rFonts w:ascii="Arial" w:hAnsi="Arial" w:cs="Arial"/>
          <w:b/>
          <w:bCs/>
        </w:rPr>
        <w:t>Purpose</w:t>
      </w:r>
      <w:r w:rsidR="001E14D3" w:rsidRPr="0096374D">
        <w:rPr>
          <w:rFonts w:ascii="Arial" w:hAnsi="Arial" w:cs="Arial"/>
          <w:b/>
          <w:bCs/>
        </w:rPr>
        <w:t>:</w:t>
      </w:r>
    </w:p>
    <w:p w14:paraId="184FF3F1" w14:textId="77777777" w:rsidR="000215C1" w:rsidRPr="00642E73" w:rsidRDefault="000215C1" w:rsidP="00642E73">
      <w:pPr>
        <w:jc w:val="both"/>
        <w:rPr>
          <w:rFonts w:ascii="Arial" w:hAnsi="Arial" w:cs="Arial"/>
        </w:rPr>
      </w:pPr>
      <w:r w:rsidRPr="00642E73">
        <w:rPr>
          <w:rFonts w:ascii="Arial" w:hAnsi="Arial" w:cs="Arial"/>
        </w:rPr>
        <w:t>The Behavioural Health Foundation is committed to fostering an inclusive and accessible workplace where all individuals, including persons with disabilities, can fully participate and succeed. This policy outlines our obligations and practices under relevant accessibility legislation and standards. It is designed to identify, remove, and prevent barriers throughout the employment lifecycle and ensure reasonable accommodations are provided where necessary.</w:t>
      </w:r>
    </w:p>
    <w:p w14:paraId="355CEA15" w14:textId="77777777" w:rsidR="00600BAB" w:rsidRPr="0096374D" w:rsidRDefault="00600BAB" w:rsidP="0070232F">
      <w:pPr>
        <w:spacing w:after="0"/>
        <w:jc w:val="both"/>
        <w:rPr>
          <w:rFonts w:ascii="Arial" w:hAnsi="Arial" w:cs="Arial"/>
        </w:rPr>
      </w:pPr>
    </w:p>
    <w:p w14:paraId="7E3A28A0" w14:textId="7A00E909" w:rsidR="00C368EE" w:rsidRPr="0096374D" w:rsidRDefault="006F455A" w:rsidP="00C368EE">
      <w:pPr>
        <w:rPr>
          <w:rFonts w:ascii="Arial" w:hAnsi="Arial" w:cs="Arial"/>
          <w:b/>
          <w:bCs/>
        </w:rPr>
      </w:pPr>
      <w:r w:rsidRPr="0096374D">
        <w:rPr>
          <w:rFonts w:ascii="Arial" w:hAnsi="Arial" w:cs="Arial"/>
          <w:b/>
          <w:bCs/>
        </w:rPr>
        <w:t>Scope</w:t>
      </w:r>
      <w:r w:rsidR="001E14D3" w:rsidRPr="0096374D">
        <w:rPr>
          <w:rFonts w:ascii="Arial" w:hAnsi="Arial" w:cs="Arial"/>
          <w:b/>
          <w:bCs/>
        </w:rPr>
        <w:t>:</w:t>
      </w:r>
    </w:p>
    <w:p w14:paraId="569E8C8D" w14:textId="77777777" w:rsidR="00642E73" w:rsidRDefault="00642E73" w:rsidP="00642E73">
      <w:pPr>
        <w:jc w:val="both"/>
        <w:rPr>
          <w:rFonts w:ascii="Arial" w:hAnsi="Arial" w:cs="Arial"/>
        </w:rPr>
      </w:pPr>
      <w:r w:rsidRPr="00642E73">
        <w:rPr>
          <w:rFonts w:ascii="Arial" w:hAnsi="Arial" w:cs="Arial"/>
        </w:rPr>
        <w:t>This policy applies to all employees, including full-time, part-time, seasonal, apprentices, applicants, contractors, and volunteers. It covers all stages of employment: recruitment, selection, onboarding, performance management, career development, return-to-work, and termination.</w:t>
      </w:r>
    </w:p>
    <w:p w14:paraId="172704B8" w14:textId="7BDB8331" w:rsidR="004D1B2C" w:rsidRDefault="004D1B2C" w:rsidP="004D1B2C">
      <w:r w:rsidRPr="004D1B2C">
        <w:rPr>
          <w:rFonts w:ascii="Arial" w:hAnsi="Arial" w:cs="Arial"/>
          <w:b/>
          <w:bCs/>
        </w:rPr>
        <w:t>Commitment</w:t>
      </w:r>
      <w:r>
        <w:rPr>
          <w:rFonts w:ascii="Arial" w:hAnsi="Arial" w:cs="Arial"/>
          <w:b/>
          <w:bCs/>
        </w:rPr>
        <w:t>:</w:t>
      </w:r>
    </w:p>
    <w:p w14:paraId="4EECD631" w14:textId="77777777" w:rsidR="004D1B2C" w:rsidRPr="004D1B2C" w:rsidRDefault="004D1B2C" w:rsidP="004D1B2C">
      <w:pPr>
        <w:jc w:val="both"/>
        <w:rPr>
          <w:rFonts w:ascii="Arial" w:hAnsi="Arial" w:cs="Arial"/>
        </w:rPr>
      </w:pPr>
      <w:r w:rsidRPr="004D1B2C">
        <w:rPr>
          <w:rFonts w:ascii="Arial" w:hAnsi="Arial" w:cs="Arial"/>
        </w:rPr>
        <w:t>We are dedicated to identifying and eliminating barriers to employment accessibility, accommodating applicants and employees with disabilities, and integrating accessibility into daily operations. The policy and related practices will be regularly reviewed for compliance and effectiveness. Employees will be kept informed about accommodation measures, policies, and practices, with updates provided through multiple channels</w:t>
      </w:r>
    </w:p>
    <w:p w14:paraId="571DA140" w14:textId="77777777" w:rsidR="00600BAB" w:rsidRPr="0096374D" w:rsidRDefault="00600BAB" w:rsidP="008B251D">
      <w:pPr>
        <w:spacing w:after="0"/>
        <w:rPr>
          <w:rFonts w:ascii="Arial" w:hAnsi="Arial" w:cs="Arial"/>
        </w:rPr>
      </w:pPr>
    </w:p>
    <w:p w14:paraId="4BD874C0" w14:textId="77777777" w:rsidR="00540C16" w:rsidRDefault="00540C16" w:rsidP="00540C16">
      <w:pPr>
        <w:rPr>
          <w:rFonts w:ascii="Arial" w:hAnsi="Arial" w:cs="Arial"/>
          <w:b/>
          <w:bCs/>
        </w:rPr>
      </w:pPr>
      <w:r w:rsidRPr="00540C16">
        <w:rPr>
          <w:rFonts w:ascii="Arial" w:hAnsi="Arial" w:cs="Arial"/>
          <w:b/>
          <w:bCs/>
        </w:rPr>
        <w:t>Accessible Employment Practices</w:t>
      </w:r>
    </w:p>
    <w:p w14:paraId="2964206B" w14:textId="5BFC6C02" w:rsidR="00F955DD" w:rsidRPr="00F41DD5" w:rsidRDefault="00F955DD" w:rsidP="00F955DD">
      <w:pPr>
        <w:rPr>
          <w:i/>
          <w:iCs/>
        </w:rPr>
      </w:pPr>
      <w:r w:rsidRPr="00F41DD5">
        <w:rPr>
          <w:b/>
          <w:bCs/>
          <w:i/>
          <w:iCs/>
        </w:rPr>
        <w:t>Recruitment</w:t>
      </w:r>
    </w:p>
    <w:p w14:paraId="013C8436" w14:textId="77777777" w:rsidR="00F955DD" w:rsidRPr="00F41DD5" w:rsidRDefault="00F955DD" w:rsidP="00F41DD5">
      <w:pPr>
        <w:jc w:val="both"/>
        <w:rPr>
          <w:rFonts w:ascii="Arial" w:hAnsi="Arial" w:cs="Arial"/>
        </w:rPr>
      </w:pPr>
      <w:r w:rsidRPr="00F41DD5">
        <w:rPr>
          <w:rFonts w:ascii="Arial" w:hAnsi="Arial" w:cs="Arial"/>
        </w:rPr>
        <w:t>Job postings will indicate that accommodations are available upon request. Applicants will be informed of our commitment to providing reasonable accommodations during recruitment and selection. Requests for accommodation will be addressed promptly and in consultation with the applicant.</w:t>
      </w:r>
    </w:p>
    <w:p w14:paraId="09A8CF35" w14:textId="7DC87E83" w:rsidR="00F955DD" w:rsidRPr="00F41DD5" w:rsidRDefault="00F955DD" w:rsidP="00F955DD">
      <w:pPr>
        <w:rPr>
          <w:b/>
          <w:bCs/>
          <w:i/>
          <w:iCs/>
        </w:rPr>
      </w:pPr>
      <w:r w:rsidRPr="00F41DD5">
        <w:rPr>
          <w:b/>
          <w:bCs/>
          <w:i/>
          <w:iCs/>
        </w:rPr>
        <w:t>Selection &amp; Hiring</w:t>
      </w:r>
    </w:p>
    <w:p w14:paraId="2C21D197" w14:textId="77777777" w:rsidR="00F955DD" w:rsidRPr="00F41DD5" w:rsidRDefault="00F955DD" w:rsidP="00F41DD5">
      <w:pPr>
        <w:jc w:val="both"/>
        <w:rPr>
          <w:rFonts w:ascii="Arial" w:hAnsi="Arial" w:cs="Arial"/>
        </w:rPr>
      </w:pPr>
      <w:r w:rsidRPr="00F41DD5">
        <w:rPr>
          <w:rFonts w:ascii="Arial" w:hAnsi="Arial" w:cs="Arial"/>
        </w:rPr>
        <w:lastRenderedPageBreak/>
        <w:t>Shortlisted candidates will be asked about accommodation needs during interviews. Offers of employment will include information about our accommodation policies and practices.</w:t>
      </w:r>
    </w:p>
    <w:p w14:paraId="287248B7" w14:textId="2FF0B22D" w:rsidR="00F955DD" w:rsidRPr="002158DD" w:rsidRDefault="00F955DD" w:rsidP="00F955DD">
      <w:r w:rsidRPr="002158DD">
        <w:rPr>
          <w:b/>
          <w:bCs/>
        </w:rPr>
        <w:t xml:space="preserve"> </w:t>
      </w:r>
      <w:r w:rsidRPr="00F41DD5">
        <w:rPr>
          <w:b/>
          <w:bCs/>
          <w:i/>
          <w:iCs/>
        </w:rPr>
        <w:t>Informing Employees of Supports</w:t>
      </w:r>
    </w:p>
    <w:p w14:paraId="435C4ED0" w14:textId="77777777" w:rsidR="00F955DD" w:rsidRPr="00F41DD5" w:rsidRDefault="00F955DD" w:rsidP="00F41DD5">
      <w:pPr>
        <w:jc w:val="both"/>
        <w:rPr>
          <w:rFonts w:ascii="Arial" w:hAnsi="Arial" w:cs="Arial"/>
        </w:rPr>
      </w:pPr>
      <w:r w:rsidRPr="00F41DD5">
        <w:rPr>
          <w:rFonts w:ascii="Arial" w:hAnsi="Arial" w:cs="Arial"/>
        </w:rPr>
        <w:t>Employees will be informed of this policy upon hiring and when updates occur. The policy will be made available in accessible formats upon request and communicated through multiple channels.</w:t>
      </w:r>
    </w:p>
    <w:p w14:paraId="474857D8" w14:textId="404F5F26" w:rsidR="00F955DD" w:rsidRPr="000456F9" w:rsidRDefault="00F955DD" w:rsidP="00F955DD">
      <w:pPr>
        <w:rPr>
          <w:i/>
          <w:iCs/>
        </w:rPr>
      </w:pPr>
      <w:r w:rsidRPr="000456F9">
        <w:rPr>
          <w:b/>
          <w:bCs/>
          <w:i/>
          <w:iCs/>
        </w:rPr>
        <w:t>Accessible Formats &amp; Communication Supports</w:t>
      </w:r>
    </w:p>
    <w:p w14:paraId="3D5EC632" w14:textId="77777777" w:rsidR="00F955DD" w:rsidRPr="000456F9" w:rsidRDefault="00F955DD" w:rsidP="000456F9">
      <w:pPr>
        <w:jc w:val="both"/>
        <w:rPr>
          <w:rFonts w:ascii="Arial" w:hAnsi="Arial" w:cs="Arial"/>
        </w:rPr>
      </w:pPr>
      <w:r w:rsidRPr="000456F9">
        <w:rPr>
          <w:rFonts w:ascii="Arial" w:hAnsi="Arial" w:cs="Arial"/>
        </w:rPr>
        <w:t>Upon request, job-related information, communications, emergency procedures, and performance expectations will be provided in accessible formats or using communication supports, in consultation with the employee.</w:t>
      </w:r>
    </w:p>
    <w:p w14:paraId="77E64600" w14:textId="62B3EAB9" w:rsidR="00F955DD" w:rsidRPr="000456F9" w:rsidRDefault="00F955DD" w:rsidP="00F955DD">
      <w:pPr>
        <w:rPr>
          <w:b/>
          <w:bCs/>
          <w:i/>
          <w:iCs/>
        </w:rPr>
      </w:pPr>
      <w:r w:rsidRPr="000456F9">
        <w:rPr>
          <w:b/>
          <w:bCs/>
          <w:i/>
          <w:iCs/>
        </w:rPr>
        <w:t>Workplace Emergency Response Information</w:t>
      </w:r>
    </w:p>
    <w:p w14:paraId="58186609" w14:textId="77777777" w:rsidR="00F955DD" w:rsidRPr="000456F9" w:rsidRDefault="00F955DD" w:rsidP="000456F9">
      <w:pPr>
        <w:jc w:val="both"/>
        <w:rPr>
          <w:rFonts w:ascii="Arial" w:hAnsi="Arial" w:cs="Arial"/>
        </w:rPr>
      </w:pPr>
      <w:r w:rsidRPr="000456F9">
        <w:rPr>
          <w:rFonts w:ascii="Arial" w:hAnsi="Arial" w:cs="Arial"/>
        </w:rPr>
        <w:t>Individual emergency response information will be provided where necessary and reviewed when the employee’s location or needs change. Consent will be obtained before sharing emergency response information with designated individuals.</w:t>
      </w:r>
    </w:p>
    <w:p w14:paraId="3B0F40CF" w14:textId="13273EA0" w:rsidR="00F955DD" w:rsidRPr="000456F9" w:rsidRDefault="00F955DD" w:rsidP="00F955DD">
      <w:pPr>
        <w:rPr>
          <w:b/>
          <w:bCs/>
          <w:u w:val="single"/>
        </w:rPr>
      </w:pPr>
      <w:r w:rsidRPr="000456F9">
        <w:rPr>
          <w:b/>
          <w:bCs/>
          <w:u w:val="single"/>
        </w:rPr>
        <w:t>Accommodation</w:t>
      </w:r>
    </w:p>
    <w:p w14:paraId="5336215C" w14:textId="639A4EDF" w:rsidR="00F955DD" w:rsidRPr="000456F9" w:rsidRDefault="00F955DD" w:rsidP="00F955DD">
      <w:pPr>
        <w:rPr>
          <w:b/>
          <w:bCs/>
          <w:i/>
          <w:iCs/>
        </w:rPr>
      </w:pPr>
      <w:r w:rsidRPr="000456F9">
        <w:rPr>
          <w:b/>
          <w:bCs/>
          <w:i/>
          <w:iCs/>
        </w:rPr>
        <w:t>Employee Accommodations</w:t>
      </w:r>
    </w:p>
    <w:p w14:paraId="5EAAB04B" w14:textId="77777777" w:rsidR="00F955DD" w:rsidRPr="000456F9" w:rsidRDefault="00F955DD" w:rsidP="000456F9">
      <w:pPr>
        <w:jc w:val="both"/>
        <w:rPr>
          <w:rFonts w:ascii="Arial" w:hAnsi="Arial" w:cs="Arial"/>
        </w:rPr>
      </w:pPr>
      <w:r w:rsidRPr="000456F9">
        <w:rPr>
          <w:rFonts w:ascii="Arial" w:hAnsi="Arial" w:cs="Arial"/>
        </w:rPr>
        <w:t>Employees may request accommodation by contacting Human Resources or their manager. The organization will consult with the employee and may request supporting documentation. Accommodations may include modified duties, assistive technology, or physical changes and will be provided unless they cause undue hardship.</w:t>
      </w:r>
    </w:p>
    <w:p w14:paraId="553A2056" w14:textId="6D2D70E0" w:rsidR="00F955DD" w:rsidRPr="002158DD" w:rsidRDefault="00F955DD" w:rsidP="00F955DD">
      <w:r w:rsidRPr="002158DD">
        <w:rPr>
          <w:b/>
          <w:bCs/>
        </w:rPr>
        <w:t>Individual Accommodation Plans</w:t>
      </w:r>
    </w:p>
    <w:p w14:paraId="31F75D15" w14:textId="77777777" w:rsidR="00F955DD" w:rsidRPr="000456F9" w:rsidRDefault="00F955DD" w:rsidP="000456F9">
      <w:pPr>
        <w:jc w:val="both"/>
        <w:rPr>
          <w:rFonts w:ascii="Arial" w:hAnsi="Arial" w:cs="Arial"/>
        </w:rPr>
      </w:pPr>
      <w:r w:rsidRPr="000456F9">
        <w:rPr>
          <w:rFonts w:ascii="Arial" w:hAnsi="Arial" w:cs="Arial"/>
        </w:rPr>
        <w:t>Written plans will be developed in consultation with the employee and reviewed regularly. Plans will include communication supports, emergency measures, and timelines for review. Employees may involve a representative in the development of the plan. Reasons for denial will be provided in writing. Employee privacy regarding accommodation plans and personal health information will be maintained in accordance with applicable privacy legislation.</w:t>
      </w:r>
    </w:p>
    <w:p w14:paraId="79BAC04C" w14:textId="610A4282" w:rsidR="00F955DD" w:rsidRPr="002158DD" w:rsidRDefault="00F955DD" w:rsidP="00F955DD">
      <w:r w:rsidRPr="000456F9">
        <w:rPr>
          <w:b/>
          <w:bCs/>
          <w:u w:val="single"/>
        </w:rPr>
        <w:t>Return to Work Process</w:t>
      </w:r>
    </w:p>
    <w:p w14:paraId="0C70235E" w14:textId="77777777" w:rsidR="00F955DD" w:rsidRPr="000456F9" w:rsidRDefault="00F955DD" w:rsidP="000456F9">
      <w:pPr>
        <w:jc w:val="both"/>
        <w:rPr>
          <w:rFonts w:ascii="Arial" w:hAnsi="Arial" w:cs="Arial"/>
        </w:rPr>
      </w:pPr>
      <w:r w:rsidRPr="000456F9">
        <w:rPr>
          <w:rFonts w:ascii="Arial" w:hAnsi="Arial" w:cs="Arial"/>
        </w:rPr>
        <w:t>A proactive return-to-work process will help employees with disabilities and health conditions stay at work or return as soon as it is safe to do so. This may involve modifying duties and hours according to functional abilities. The process will be flexible and tailored to individual needs, with support from supervisors and co-workers.</w:t>
      </w:r>
    </w:p>
    <w:p w14:paraId="45097516" w14:textId="6AED72A0" w:rsidR="00F955DD" w:rsidRPr="002158DD" w:rsidRDefault="00F955DD" w:rsidP="00F955DD">
      <w:r w:rsidRPr="000456F9">
        <w:rPr>
          <w:b/>
          <w:bCs/>
          <w:u w:val="single"/>
        </w:rPr>
        <w:lastRenderedPageBreak/>
        <w:t>Performance Management &amp; Career Development</w:t>
      </w:r>
    </w:p>
    <w:p w14:paraId="16DD9FB7" w14:textId="77777777" w:rsidR="00F955DD" w:rsidRPr="000456F9" w:rsidRDefault="00F955DD" w:rsidP="000456F9">
      <w:pPr>
        <w:jc w:val="both"/>
        <w:rPr>
          <w:rFonts w:ascii="Arial" w:hAnsi="Arial" w:cs="Arial"/>
        </w:rPr>
      </w:pPr>
      <w:r w:rsidRPr="000456F9">
        <w:rPr>
          <w:rFonts w:ascii="Arial" w:hAnsi="Arial" w:cs="Arial"/>
        </w:rPr>
        <w:t>Performance evaluations, promotions, and development opportunities will be accessible. Accommodation plans will be considered during performance reviews. Training and advancement processes will be adjusted to remove barriers and ensure equal opportunity.</w:t>
      </w:r>
    </w:p>
    <w:p w14:paraId="4F44F756" w14:textId="384BCE08" w:rsidR="00F955DD" w:rsidRPr="002158DD" w:rsidRDefault="00F955DD" w:rsidP="00F955DD">
      <w:r w:rsidRPr="000456F9">
        <w:rPr>
          <w:b/>
          <w:bCs/>
          <w:u w:val="single"/>
        </w:rPr>
        <w:t>Training</w:t>
      </w:r>
    </w:p>
    <w:p w14:paraId="23D17F80" w14:textId="77777777" w:rsidR="00F955DD" w:rsidRPr="000456F9" w:rsidRDefault="00F955DD" w:rsidP="000456F9">
      <w:pPr>
        <w:jc w:val="both"/>
        <w:rPr>
          <w:rFonts w:ascii="Arial" w:hAnsi="Arial" w:cs="Arial"/>
        </w:rPr>
      </w:pPr>
      <w:r w:rsidRPr="000456F9">
        <w:rPr>
          <w:rFonts w:ascii="Arial" w:hAnsi="Arial" w:cs="Arial"/>
        </w:rPr>
        <w:t>All employees and managers involved in workplace hiring, supervision, or accommodation will be trained on relevant accessibility legislation, human rights codes, and organizational accessibility policies. Training will be documented and refreshed regularly.</w:t>
      </w:r>
    </w:p>
    <w:p w14:paraId="37152280" w14:textId="7D42B0BD" w:rsidR="00F955DD" w:rsidRPr="002158DD" w:rsidRDefault="00F955DD" w:rsidP="00F955DD">
      <w:r w:rsidRPr="000456F9">
        <w:rPr>
          <w:b/>
          <w:bCs/>
          <w:u w:val="single"/>
        </w:rPr>
        <w:t>Monitoring &amp; Review</w:t>
      </w:r>
    </w:p>
    <w:p w14:paraId="40D9498A" w14:textId="77777777" w:rsidR="00F955DD" w:rsidRPr="000456F9" w:rsidRDefault="00F955DD" w:rsidP="000456F9">
      <w:pPr>
        <w:jc w:val="both"/>
        <w:rPr>
          <w:rFonts w:ascii="Arial" w:hAnsi="Arial" w:cs="Arial"/>
        </w:rPr>
      </w:pPr>
      <w:r w:rsidRPr="000456F9">
        <w:rPr>
          <w:rFonts w:ascii="Arial" w:hAnsi="Arial" w:cs="Arial"/>
        </w:rPr>
        <w:t>This policy is reviewed every year or as needed. Feedback is considered for continuous improvement.</w:t>
      </w:r>
    </w:p>
    <w:p w14:paraId="6AE70015" w14:textId="028335AE" w:rsidR="00F955DD" w:rsidRPr="002158DD" w:rsidRDefault="00F955DD" w:rsidP="00F955DD">
      <w:r w:rsidRPr="000456F9">
        <w:rPr>
          <w:b/>
          <w:bCs/>
          <w:u w:val="single"/>
        </w:rPr>
        <w:t>Feedback &amp; Contact</w:t>
      </w:r>
    </w:p>
    <w:p w14:paraId="3AFB1460" w14:textId="77777777" w:rsidR="00F955DD" w:rsidRPr="000456F9" w:rsidRDefault="00F955DD" w:rsidP="000456F9">
      <w:pPr>
        <w:jc w:val="both"/>
        <w:rPr>
          <w:rFonts w:ascii="Arial" w:hAnsi="Arial" w:cs="Arial"/>
        </w:rPr>
      </w:pPr>
      <w:r w:rsidRPr="000456F9">
        <w:rPr>
          <w:rFonts w:ascii="Arial" w:hAnsi="Arial" w:cs="Arial"/>
        </w:rPr>
        <w:t>Employees and the public can submit feedback or accommodation requests to info@bhf.ca. Feedback may be submitted anonymously or with contact information. Behavioural Health Foundation will acknowledge and respond within a reasonable timeframe. Accessible formats are available upon request.</w:t>
      </w:r>
    </w:p>
    <w:p w14:paraId="4DAAB810" w14:textId="77777777" w:rsidR="00F955DD" w:rsidRPr="00540C16" w:rsidRDefault="00F955DD" w:rsidP="00540C16">
      <w:pPr>
        <w:rPr>
          <w:rFonts w:ascii="Arial" w:hAnsi="Arial" w:cs="Arial"/>
          <w:b/>
          <w:bCs/>
        </w:rPr>
      </w:pPr>
    </w:p>
    <w:sectPr w:rsidR="00F955DD" w:rsidRPr="00540C1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211B" w14:textId="77777777" w:rsidR="00446E92" w:rsidRDefault="00446E92" w:rsidP="00AD694A">
      <w:pPr>
        <w:spacing w:after="0" w:line="240" w:lineRule="auto"/>
      </w:pPr>
      <w:r>
        <w:separator/>
      </w:r>
    </w:p>
  </w:endnote>
  <w:endnote w:type="continuationSeparator" w:id="0">
    <w:p w14:paraId="131B88CE" w14:textId="77777777" w:rsidR="00446E92" w:rsidRDefault="00446E92" w:rsidP="00AD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679194"/>
      <w:docPartObj>
        <w:docPartGallery w:val="Page Numbers (Bottom of Page)"/>
        <w:docPartUnique/>
      </w:docPartObj>
    </w:sdtPr>
    <w:sdtContent>
      <w:p w14:paraId="01F84D96" w14:textId="7AC6C860" w:rsidR="00AD694A" w:rsidRDefault="00AD694A" w:rsidP="005C4F3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4D72061" w14:textId="77777777" w:rsidR="00AD694A" w:rsidRDefault="00AD6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3F34" w14:textId="77777777" w:rsidR="00446E92" w:rsidRDefault="00446E92" w:rsidP="00AD694A">
      <w:pPr>
        <w:spacing w:after="0" w:line="240" w:lineRule="auto"/>
      </w:pPr>
      <w:r>
        <w:separator/>
      </w:r>
    </w:p>
  </w:footnote>
  <w:footnote w:type="continuationSeparator" w:id="0">
    <w:p w14:paraId="189272A5" w14:textId="77777777" w:rsidR="00446E92" w:rsidRDefault="00446E92" w:rsidP="00AD6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34F"/>
    <w:multiLevelType w:val="hybridMultilevel"/>
    <w:tmpl w:val="B6E87D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8014C4"/>
    <w:multiLevelType w:val="multilevel"/>
    <w:tmpl w:val="9980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E0ABA"/>
    <w:multiLevelType w:val="multilevel"/>
    <w:tmpl w:val="4112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13C09"/>
    <w:multiLevelType w:val="multilevel"/>
    <w:tmpl w:val="B3B2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94830"/>
    <w:multiLevelType w:val="multilevel"/>
    <w:tmpl w:val="49E8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6047B"/>
    <w:multiLevelType w:val="multilevel"/>
    <w:tmpl w:val="2546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E6D56"/>
    <w:multiLevelType w:val="multilevel"/>
    <w:tmpl w:val="9102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7099E"/>
    <w:multiLevelType w:val="multilevel"/>
    <w:tmpl w:val="6A302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47147">
    <w:abstractNumId w:val="0"/>
  </w:num>
  <w:num w:numId="2" w16cid:durableId="11809431">
    <w:abstractNumId w:val="4"/>
  </w:num>
  <w:num w:numId="3" w16cid:durableId="631904992">
    <w:abstractNumId w:val="3"/>
  </w:num>
  <w:num w:numId="4" w16cid:durableId="766123247">
    <w:abstractNumId w:val="5"/>
  </w:num>
  <w:num w:numId="5" w16cid:durableId="1737970610">
    <w:abstractNumId w:val="2"/>
  </w:num>
  <w:num w:numId="6" w16cid:durableId="2086829431">
    <w:abstractNumId w:val="7"/>
  </w:num>
  <w:num w:numId="7" w16cid:durableId="1146778349">
    <w:abstractNumId w:val="1"/>
  </w:num>
  <w:num w:numId="8" w16cid:durableId="50674665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E"/>
    <w:rsid w:val="0001392D"/>
    <w:rsid w:val="0002015D"/>
    <w:rsid w:val="000215C1"/>
    <w:rsid w:val="000456F9"/>
    <w:rsid w:val="00054065"/>
    <w:rsid w:val="00057E35"/>
    <w:rsid w:val="00066D6F"/>
    <w:rsid w:val="000772CC"/>
    <w:rsid w:val="000831C3"/>
    <w:rsid w:val="000F2C5E"/>
    <w:rsid w:val="00100A9B"/>
    <w:rsid w:val="001378B7"/>
    <w:rsid w:val="001379B7"/>
    <w:rsid w:val="00142419"/>
    <w:rsid w:val="00147852"/>
    <w:rsid w:val="00151915"/>
    <w:rsid w:val="00164A46"/>
    <w:rsid w:val="001942FA"/>
    <w:rsid w:val="001A65F2"/>
    <w:rsid w:val="001D2571"/>
    <w:rsid w:val="001E14D3"/>
    <w:rsid w:val="001F3453"/>
    <w:rsid w:val="001F5135"/>
    <w:rsid w:val="001F627B"/>
    <w:rsid w:val="00213B92"/>
    <w:rsid w:val="002173F8"/>
    <w:rsid w:val="00235F99"/>
    <w:rsid w:val="002B2E71"/>
    <w:rsid w:val="002C3D34"/>
    <w:rsid w:val="00326F17"/>
    <w:rsid w:val="003401EE"/>
    <w:rsid w:val="00377E36"/>
    <w:rsid w:val="003F02DF"/>
    <w:rsid w:val="003F64D5"/>
    <w:rsid w:val="0042010D"/>
    <w:rsid w:val="00446E92"/>
    <w:rsid w:val="004804F2"/>
    <w:rsid w:val="004811BF"/>
    <w:rsid w:val="004D167C"/>
    <w:rsid w:val="004D1B2C"/>
    <w:rsid w:val="004E2C64"/>
    <w:rsid w:val="004E5F63"/>
    <w:rsid w:val="004F0869"/>
    <w:rsid w:val="00540C16"/>
    <w:rsid w:val="00576476"/>
    <w:rsid w:val="005A3B14"/>
    <w:rsid w:val="005C4F3A"/>
    <w:rsid w:val="005D6C30"/>
    <w:rsid w:val="00600BAB"/>
    <w:rsid w:val="0060438B"/>
    <w:rsid w:val="00642E73"/>
    <w:rsid w:val="0067773A"/>
    <w:rsid w:val="006C434A"/>
    <w:rsid w:val="006F455A"/>
    <w:rsid w:val="0070232F"/>
    <w:rsid w:val="0075319E"/>
    <w:rsid w:val="007A12CE"/>
    <w:rsid w:val="007B7480"/>
    <w:rsid w:val="007D7ACB"/>
    <w:rsid w:val="007F4423"/>
    <w:rsid w:val="00801773"/>
    <w:rsid w:val="00864F9D"/>
    <w:rsid w:val="008B251D"/>
    <w:rsid w:val="008E0A70"/>
    <w:rsid w:val="008F5E87"/>
    <w:rsid w:val="009131FB"/>
    <w:rsid w:val="009331AF"/>
    <w:rsid w:val="0096374D"/>
    <w:rsid w:val="00993AF1"/>
    <w:rsid w:val="00A267FB"/>
    <w:rsid w:val="00A50897"/>
    <w:rsid w:val="00A70BF5"/>
    <w:rsid w:val="00A90BC1"/>
    <w:rsid w:val="00AD694A"/>
    <w:rsid w:val="00AD6DB7"/>
    <w:rsid w:val="00B1622A"/>
    <w:rsid w:val="00B20637"/>
    <w:rsid w:val="00B24036"/>
    <w:rsid w:val="00B50F39"/>
    <w:rsid w:val="00B5598C"/>
    <w:rsid w:val="00B56201"/>
    <w:rsid w:val="00BC3398"/>
    <w:rsid w:val="00BC401B"/>
    <w:rsid w:val="00BC62C9"/>
    <w:rsid w:val="00C11F8E"/>
    <w:rsid w:val="00C13397"/>
    <w:rsid w:val="00C20755"/>
    <w:rsid w:val="00C278B3"/>
    <w:rsid w:val="00C368EE"/>
    <w:rsid w:val="00C90336"/>
    <w:rsid w:val="00CA34B0"/>
    <w:rsid w:val="00CE5C71"/>
    <w:rsid w:val="00D10DF3"/>
    <w:rsid w:val="00D81814"/>
    <w:rsid w:val="00D8556D"/>
    <w:rsid w:val="00DA1791"/>
    <w:rsid w:val="00DC38CF"/>
    <w:rsid w:val="00DD5812"/>
    <w:rsid w:val="00E00FE8"/>
    <w:rsid w:val="00E67F39"/>
    <w:rsid w:val="00F41DD5"/>
    <w:rsid w:val="00F6466B"/>
    <w:rsid w:val="00F955DD"/>
    <w:rsid w:val="00FB1997"/>
    <w:rsid w:val="00FC05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3E6"/>
  <w15:chartTrackingRefBased/>
  <w15:docId w15:val="{8AA8CD07-653E-472D-8E87-ACC35A67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E"/>
    <w:rPr>
      <w:rFonts w:eastAsiaTheme="majorEastAsia" w:cstheme="majorBidi"/>
      <w:color w:val="272727" w:themeColor="text1" w:themeTint="D8"/>
    </w:rPr>
  </w:style>
  <w:style w:type="paragraph" w:styleId="Title">
    <w:name w:val="Title"/>
    <w:basedOn w:val="Normal"/>
    <w:next w:val="Normal"/>
    <w:link w:val="TitleChar"/>
    <w:uiPriority w:val="10"/>
    <w:qFormat/>
    <w:rsid w:val="00C36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E"/>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E"/>
    <w:rPr>
      <w:i/>
      <w:iCs/>
      <w:color w:val="404040" w:themeColor="text1" w:themeTint="BF"/>
    </w:rPr>
  </w:style>
  <w:style w:type="paragraph" w:styleId="ListParagraph">
    <w:name w:val="List Paragraph"/>
    <w:basedOn w:val="Normal"/>
    <w:uiPriority w:val="34"/>
    <w:qFormat/>
    <w:rsid w:val="00C368EE"/>
    <w:pPr>
      <w:ind w:left="720"/>
      <w:contextualSpacing/>
    </w:pPr>
  </w:style>
  <w:style w:type="character" w:styleId="IntenseEmphasis">
    <w:name w:val="Intense Emphasis"/>
    <w:basedOn w:val="DefaultParagraphFont"/>
    <w:uiPriority w:val="21"/>
    <w:qFormat/>
    <w:rsid w:val="00C368EE"/>
    <w:rPr>
      <w:i/>
      <w:iCs/>
      <w:color w:val="0F4761" w:themeColor="accent1" w:themeShade="BF"/>
    </w:rPr>
  </w:style>
  <w:style w:type="paragraph" w:styleId="IntenseQuote">
    <w:name w:val="Intense Quote"/>
    <w:basedOn w:val="Normal"/>
    <w:next w:val="Normal"/>
    <w:link w:val="IntenseQuoteChar"/>
    <w:uiPriority w:val="30"/>
    <w:qFormat/>
    <w:rsid w:val="00C36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E"/>
    <w:rPr>
      <w:i/>
      <w:iCs/>
      <w:color w:val="0F4761" w:themeColor="accent1" w:themeShade="BF"/>
    </w:rPr>
  </w:style>
  <w:style w:type="character" w:styleId="IntenseReference">
    <w:name w:val="Intense Reference"/>
    <w:basedOn w:val="DefaultParagraphFont"/>
    <w:uiPriority w:val="32"/>
    <w:qFormat/>
    <w:rsid w:val="00C368EE"/>
    <w:rPr>
      <w:b/>
      <w:bCs/>
      <w:smallCaps/>
      <w:color w:val="0F4761" w:themeColor="accent1" w:themeShade="BF"/>
      <w:spacing w:val="5"/>
    </w:rPr>
  </w:style>
  <w:style w:type="paragraph" w:styleId="NoSpacing">
    <w:name w:val="No Spacing"/>
    <w:uiPriority w:val="1"/>
    <w:qFormat/>
    <w:rsid w:val="001E14D3"/>
    <w:pPr>
      <w:spacing w:after="0" w:line="240" w:lineRule="auto"/>
    </w:pPr>
    <w:rPr>
      <w:kern w:val="0"/>
      <w:sz w:val="22"/>
      <w:szCs w:val="22"/>
      <w14:ligatures w14:val="none"/>
    </w:rPr>
  </w:style>
  <w:style w:type="table" w:styleId="TableGrid">
    <w:name w:val="Table Grid"/>
    <w:basedOn w:val="TableNormal"/>
    <w:uiPriority w:val="59"/>
    <w:rsid w:val="001E14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aragraph">
    <w:name w:val="1Paragraph"/>
    <w:rsid w:val="001E14D3"/>
    <w:pPr>
      <w:widowControl w:val="0"/>
      <w:tabs>
        <w:tab w:val="left" w:pos="720"/>
      </w:tabs>
      <w:autoSpaceDE w:val="0"/>
      <w:autoSpaceDN w:val="0"/>
      <w:spacing w:after="0" w:line="240" w:lineRule="auto"/>
      <w:ind w:left="1080" w:hanging="1080"/>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1E14D3"/>
    <w:pPr>
      <w:spacing w:after="0" w:line="240" w:lineRule="auto"/>
    </w:pPr>
    <w:rPr>
      <w:rFonts w:ascii="Calibri" w:eastAsiaTheme="minorEastAsia" w:hAnsi="Calibri" w:cs="Calibri"/>
      <w:kern w:val="0"/>
      <w:sz w:val="22"/>
      <w:szCs w:val="22"/>
      <w:lang w:eastAsia="en-CA"/>
      <w14:ligatures w14:val="none"/>
    </w:rPr>
  </w:style>
  <w:style w:type="paragraph" w:styleId="Header">
    <w:name w:val="header"/>
    <w:basedOn w:val="Normal"/>
    <w:link w:val="HeaderChar"/>
    <w:uiPriority w:val="99"/>
    <w:unhideWhenUsed/>
    <w:rsid w:val="00AD6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94A"/>
  </w:style>
  <w:style w:type="paragraph" w:styleId="Footer">
    <w:name w:val="footer"/>
    <w:basedOn w:val="Normal"/>
    <w:link w:val="FooterChar"/>
    <w:uiPriority w:val="99"/>
    <w:unhideWhenUsed/>
    <w:rsid w:val="00AD6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94A"/>
  </w:style>
  <w:style w:type="character" w:styleId="Strong">
    <w:name w:val="Strong"/>
    <w:basedOn w:val="DefaultParagraphFont"/>
    <w:uiPriority w:val="22"/>
    <w:qFormat/>
    <w:rsid w:val="008E0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357596">
      <w:bodyDiv w:val="1"/>
      <w:marLeft w:val="0"/>
      <w:marRight w:val="0"/>
      <w:marTop w:val="0"/>
      <w:marBottom w:val="0"/>
      <w:divBdr>
        <w:top w:val="none" w:sz="0" w:space="0" w:color="auto"/>
        <w:left w:val="none" w:sz="0" w:space="0" w:color="auto"/>
        <w:bottom w:val="none" w:sz="0" w:space="0" w:color="auto"/>
        <w:right w:val="none" w:sz="0" w:space="0" w:color="auto"/>
      </w:divBdr>
    </w:div>
    <w:div w:id="10607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De Guzman</dc:creator>
  <cp:keywords/>
  <dc:description/>
  <cp:lastModifiedBy>Kuljeet Kaur</cp:lastModifiedBy>
  <cp:revision>14</cp:revision>
  <dcterms:created xsi:type="dcterms:W3CDTF">2025-10-16T13:53:00Z</dcterms:created>
  <dcterms:modified xsi:type="dcterms:W3CDTF">2026-03-05T14:51:00Z</dcterms:modified>
</cp:coreProperties>
</file>